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39" w:type="dxa"/>
        <w:jc w:val="left"/>
        <w:tblInd w:w="-7" w:type="dxa"/>
        <w:tblLayout w:type="fixed"/>
        <w:tblCellMar>
          <w:top w:w="0" w:type="dxa"/>
          <w:left w:w="108" w:type="dxa"/>
          <w:bottom w:w="0" w:type="dxa"/>
          <w:right w:w="108" w:type="dxa"/>
        </w:tblCellMar>
        <w:tblLook w:val="0420"/>
      </w:tblPr>
      <w:tblGrid>
        <w:gridCol w:w="9739"/>
      </w:tblGrid>
      <w:tr>
        <w:trPr>
          <w:trHeight w:val="2325" w:hRule="atLeast"/>
        </w:trPr>
        <w:tc>
          <w:tcPr>
            <w:tcW w:w="9739" w:type="dxa"/>
            <w:tcBorders/>
          </w:tcPr>
          <w:p>
            <w:pPr>
              <w:pStyle w:val="Normal"/>
              <w:widowControl w:val="false"/>
              <w:jc w:val="center"/>
              <w:rPr>
                <w:sz w:val="26"/>
                <w:szCs w:val="26"/>
              </w:rPr>
            </w:pPr>
            <w:r>
              <w:rPr/>
              <w:drawing>
                <wp:inline distT="0" distB="0" distL="0" distR="0">
                  <wp:extent cx="771525" cy="771525"/>
                  <wp:effectExtent l="0" t="0" r="0" b="0"/>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ࠅ⢘__"/>
                          <pic:cNvPicPr>
                            <a:picLocks noChangeAspect="1" noChangeArrowheads="1"/>
                          </pic:cNvPicPr>
                        </pic:nvPicPr>
                        <pic:blipFill>
                          <a:blip r:embed="rId2"/>
                          <a:stretch>
                            <a:fillRect/>
                          </a:stretch>
                        </pic:blipFill>
                        <pic:spPr bwMode="auto">
                          <a:xfrm>
                            <a:off x="0" y="0"/>
                            <a:ext cx="771525" cy="771525"/>
                          </a:xfrm>
                          <a:prstGeom prst="rect">
                            <a:avLst/>
                          </a:prstGeom>
                        </pic:spPr>
                      </pic:pic>
                    </a:graphicData>
                  </a:graphic>
                </wp:inline>
              </w:drawing>
            </w:r>
          </w:p>
          <w:p>
            <w:pPr>
              <w:pStyle w:val="Normal"/>
              <w:widowControl w:val="false"/>
              <w:jc w:val="center"/>
              <w:rPr>
                <w:szCs w:val="26"/>
              </w:rPr>
            </w:pPr>
            <w:r>
              <w:rPr>
                <w:szCs w:val="26"/>
              </w:rPr>
            </w:r>
          </w:p>
          <w:p>
            <w:pPr>
              <w:pStyle w:val="Normal"/>
              <w:widowControl w:val="false"/>
              <w:ind w:left="6096" w:hanging="4820"/>
              <w:jc w:val="right"/>
              <w:rPr>
                <w:sz w:val="32"/>
                <w:szCs w:val="32"/>
              </w:rPr>
            </w:pPr>
            <w:r>
              <w:rPr>
                <w:sz w:val="32"/>
                <w:szCs w:val="32"/>
              </w:rPr>
              <mc:AlternateContent>
                <mc:Choice Requires="wps">
                  <w:drawing>
                    <wp:anchor behindDoc="0" distT="0" distB="0" distL="114300" distR="114300" simplePos="0" locked="0" layoutInCell="1" allowOverlap="1" relativeHeight="3">
                      <wp:simplePos x="0" y="0"/>
                      <wp:positionH relativeFrom="margin">
                        <wp:posOffset>-68580</wp:posOffset>
                      </wp:positionH>
                      <wp:positionV relativeFrom="paragraph">
                        <wp:posOffset>-113030</wp:posOffset>
                      </wp:positionV>
                      <wp:extent cx="6181090" cy="640080"/>
                      <wp:effectExtent l="0" t="0" r="0" b="0"/>
                      <wp:wrapSquare wrapText="bothSides"/>
                      <wp:docPr id="2" name="Врезка1"/>
                      <a:graphic xmlns:a="http://schemas.openxmlformats.org/drawingml/2006/main">
                        <a:graphicData uri="http://schemas.microsoft.com/office/word/2010/wordprocessingShape">
                          <wps:wsp>
                            <wps:cNvSpPr/>
                            <wps:spPr>
                              <a:xfrm>
                                <a:off x="0" y="0"/>
                                <a:ext cx="6180480" cy="639360"/>
                              </a:xfrm>
                              <a:prstGeom prst="rect">
                                <a:avLst/>
                              </a:prstGeom>
                              <a:noFill/>
                              <a:ln w="0">
                                <a:noFill/>
                              </a:ln>
                            </wps:spPr>
                            <wps:style>
                              <a:lnRef idx="0"/>
                              <a:fillRef idx="0"/>
                              <a:effectRef idx="0"/>
                              <a:fontRef idx="minor"/>
                            </wps:style>
                            <wps:txbx>
                              <w:txbxContent>
                                <w:tbl>
                                  <w:tblPr>
                                    <w:tblW w:w="9729" w:type="dxa"/>
                                    <w:jc w:val="left"/>
                                    <w:tblInd w:w="648"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p>
                                  <w:pPr>
                                    <w:pStyle w:val="Style21"/>
                                    <w:widowControl w:val="false"/>
                                    <w:rPr>
                                      <w:color w:val="000000"/>
                                    </w:rPr>
                                  </w:pPr>
                                  <w:r>
                                    <w:rPr/>
                                  </w:r>
                                </w:p>
                              </w:txbxContent>
                            </wps:txbx>
                            <wps:bodyPr lIns="0" rIns="0" tIns="0" bIns="0" anchor="t">
                              <a:spAutoFit/>
                            </wps:bodyPr>
                          </wps:wsp>
                        </a:graphicData>
                      </a:graphic>
                    </wp:anchor>
                  </w:drawing>
                </mc:Choice>
                <mc:Fallback>
                  <w:pict>
                    <v:rect id="shape_0" ID="Врезка1" path="m0,0l-2147483645,0l-2147483645,-2147483646l0,-2147483646xe" stroked="f" o:allowincell="t" style="position:absolute;margin-left:-5.4pt;margin-top:-8.9pt;width:486.6pt;height:50.3pt;mso-wrap-style:none;v-text-anchor:middle;mso-position-horizontal-relative:margin">
                      <v:fill o:detectmouseclick="t" on="false"/>
                      <v:stroke color="#3465a4" joinstyle="round" endcap="flat"/>
                      <v:textbox>
                        <w:txbxContent>
                          <w:tbl>
                            <w:tblPr>
                              <w:tblW w:w="9729" w:type="dxa"/>
                              <w:jc w:val="left"/>
                              <w:tblInd w:w="648"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p>
                            <w:pPr>
                              <w:pStyle w:val="Style21"/>
                              <w:widowControl w:val="false"/>
                              <w:rPr>
                                <w:color w:val="000000"/>
                              </w:rPr>
                            </w:pPr>
                            <w:r>
                              <w:rPr/>
                            </w:r>
                          </w:p>
                        </w:txbxContent>
                      </v:textbox>
                      <w10:wrap type="square"/>
                    </v:rect>
                  </w:pict>
                </mc:Fallback>
              </mc:AlternateContent>
            </w:r>
          </w:p>
        </w:tc>
      </w:tr>
    </w:tbl>
    <w:p>
      <w:pPr>
        <w:pStyle w:val="ConsPlusTitle"/>
        <w:widowControl/>
        <w:tabs>
          <w:tab w:val="clear" w:pos="708"/>
          <w:tab w:val="center" w:pos="4677" w:leader="none"/>
          <w:tab w:val="left" w:pos="7500" w:leader="none"/>
        </w:tabs>
        <w:jc w:val="center"/>
        <w:rPr>
          <w:sz w:val="32"/>
          <w:szCs w:val="32"/>
        </w:rPr>
      </w:pPr>
      <w:r>
        <w:rPr>
          <w:sz w:val="26"/>
          <w:szCs w:val="26"/>
        </w:rPr>
        <w:t xml:space="preserve">РЕШЕНИЕ                                         </w:t>
      </w:r>
    </w:p>
    <w:p>
      <w:pPr>
        <w:pStyle w:val="ConsPlusTitle"/>
        <w:widowControl/>
        <w:tabs>
          <w:tab w:val="clear" w:pos="708"/>
          <w:tab w:val="center" w:pos="4677" w:leader="none"/>
          <w:tab w:val="left" w:pos="7500" w:leader="none"/>
        </w:tabs>
        <w:jc w:val="center"/>
        <w:rPr>
          <w:rFonts w:ascii="Times New Roman" w:hAnsi="Times New Roman"/>
          <w:b w:val="false"/>
          <w:b w:val="false"/>
          <w:sz w:val="26"/>
          <w:szCs w:val="26"/>
        </w:rPr>
      </w:pPr>
      <w:r>
        <w:rPr>
          <w:b w:val="false"/>
          <w:sz w:val="26"/>
          <w:szCs w:val="26"/>
        </w:rPr>
      </w:r>
    </w:p>
    <w:p>
      <w:pPr>
        <w:pStyle w:val="ConsPlusTitle"/>
        <w:widowControl/>
        <w:rPr>
          <w:rFonts w:ascii="Times New Roman" w:hAnsi="Times New Roman"/>
          <w:sz w:val="26"/>
          <w:szCs w:val="26"/>
        </w:rPr>
      </w:pPr>
      <w:r>
        <w:rPr>
          <w:b w:val="false"/>
          <w:sz w:val="26"/>
          <w:szCs w:val="26"/>
        </w:rPr>
        <w:t xml:space="preserve">    </w:t>
      </w:r>
      <w:r>
        <w:rPr>
          <w:b w:val="false"/>
          <w:sz w:val="26"/>
          <w:szCs w:val="26"/>
        </w:rPr>
        <w:t xml:space="preserve">от   </w:t>
      </w:r>
      <w:r>
        <w:rPr>
          <w:rFonts w:eastAsia="Times New Roman" w:cs="Times New Roman"/>
          <w:b w:val="false"/>
          <w:bCs/>
          <w:color w:val="auto"/>
          <w:kern w:val="0"/>
          <w:sz w:val="26"/>
          <w:szCs w:val="26"/>
          <w:lang w:val="ru-RU" w:eastAsia="ru-RU" w:bidi="ar-SA"/>
        </w:rPr>
        <w:t>15.05.</w:t>
      </w:r>
      <w:r>
        <w:rPr>
          <w:b w:val="false"/>
          <w:sz w:val="26"/>
          <w:szCs w:val="26"/>
        </w:rPr>
        <w:t xml:space="preserve">2024г.                              с. Калинино                                      № </w:t>
      </w:r>
      <w:r>
        <w:rPr>
          <w:b w:val="false"/>
          <w:sz w:val="26"/>
          <w:szCs w:val="26"/>
        </w:rPr>
        <w:t>11</w:t>
      </w:r>
      <w:r>
        <w:rPr>
          <w:b w:val="false"/>
          <w:sz w:val="26"/>
          <w:szCs w:val="26"/>
        </w:rPr>
        <w:t xml:space="preserve"> </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center"/>
        <w:rPr>
          <w:rFonts w:ascii="Times New Roman" w:hAnsi="Times New Roman"/>
          <w:sz w:val="26"/>
          <w:szCs w:val="26"/>
        </w:rPr>
      </w:pPr>
      <w:r>
        <w:rPr>
          <w:rFonts w:cs="Times New Roman" w:ascii="Times New Roman" w:hAnsi="Times New Roman"/>
          <w:b/>
          <w:bCs/>
          <w:i/>
          <w:iCs/>
          <w:sz w:val="26"/>
          <w:szCs w:val="26"/>
        </w:rPr>
        <w:t>О внесении изменений в решение Совета депутатов Калининского сельсовета Усть-Абаканского района от 10.12.2021г. № 41 «Об утверждении Положения  «О  муниципальном контроле на автомобильном транспорте и в дорожном хозяйстве на территории Калининского сельсовета Усть-Абаканского района Республики Хакасия»».</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соответствии со статьей 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Калининский сельсовет, Совет депутатов  Калининского сельсовета </w:t>
      </w:r>
    </w:p>
    <w:p>
      <w:pPr>
        <w:pStyle w:val="NoSpacing"/>
        <w:jc w:val="both"/>
        <w:rPr>
          <w:rFonts w:ascii="Times New Roman" w:hAnsi="Times New Roman"/>
          <w:sz w:val="26"/>
          <w:szCs w:val="26"/>
        </w:rPr>
      </w:pPr>
      <w:r>
        <w:rPr>
          <w:rFonts w:cs="Times New Roman" w:ascii="Times New Roman" w:hAnsi="Times New Roman"/>
          <w:b/>
          <w:bCs/>
          <w:sz w:val="26"/>
          <w:szCs w:val="26"/>
        </w:rPr>
        <w:t>РЕШИЛ:</w:t>
      </w:r>
    </w:p>
    <w:p>
      <w:pPr>
        <w:pStyle w:val="NoSpacing"/>
        <w:jc w:val="both"/>
        <w:rPr>
          <w:rFonts w:ascii="Times New Roman" w:hAnsi="Times New Roman"/>
          <w:sz w:val="26"/>
          <w:szCs w:val="26"/>
        </w:rPr>
      </w:pPr>
      <w:r>
        <w:rPr>
          <w:rFonts w:cs="Times New Roman" w:ascii="Times New Roman" w:hAnsi="Times New Roman"/>
          <w:sz w:val="26"/>
          <w:szCs w:val="26"/>
        </w:rPr>
        <w:t xml:space="preserve"> </w:t>
      </w:r>
    </w:p>
    <w:p>
      <w:pPr>
        <w:pStyle w:val="NoSpacing"/>
        <w:jc w:val="both"/>
        <w:rPr>
          <w:rFonts w:ascii="Times New Roman" w:hAnsi="Times New Roman"/>
          <w:color w:val="000000"/>
          <w:sz w:val="26"/>
          <w:szCs w:val="26"/>
        </w:rPr>
      </w:pPr>
      <w:r>
        <w:rPr>
          <w:rFonts w:cs="Times New Roman" w:ascii="Times New Roman" w:hAnsi="Times New Roman"/>
          <w:b w:val="false"/>
          <w:bCs w:val="false"/>
          <w:color w:val="000000"/>
          <w:sz w:val="26"/>
          <w:szCs w:val="26"/>
        </w:rPr>
        <w:t xml:space="preserve">1. </w:t>
      </w:r>
      <w:r>
        <w:rPr>
          <w:rFonts w:eastAsia="Calibri" w:cs="Times New Roman" w:ascii="Times New Roman" w:hAnsi="Times New Roman" w:eastAsiaTheme="minorHAnsi"/>
          <w:b w:val="false"/>
          <w:bCs w:val="false"/>
          <w:color w:val="000000"/>
          <w:kern w:val="0"/>
          <w:sz w:val="26"/>
          <w:szCs w:val="26"/>
          <w:lang w:val="ru-RU" w:eastAsia="en-US" w:bidi="ar-SA"/>
        </w:rPr>
        <w:t>П.</w:t>
      </w:r>
      <w:r>
        <w:rPr>
          <w:rFonts w:cs="Times New Roman" w:ascii="Times New Roman" w:hAnsi="Times New Roman"/>
          <w:b w:val="false"/>
          <w:bCs w:val="false"/>
          <w:color w:val="000000"/>
          <w:sz w:val="26"/>
          <w:szCs w:val="26"/>
        </w:rPr>
        <w:t xml:space="preserve"> 3. Профилактика рисков причинения вреда (ущерба) охраняемым законом ценностям Положени</w:t>
      </w:r>
      <w:r>
        <w:rPr>
          <w:rFonts w:eastAsia="Calibri" w:cs="Times New Roman" w:ascii="Times New Roman" w:hAnsi="Times New Roman" w:eastAsiaTheme="minorHAnsi"/>
          <w:b w:val="false"/>
          <w:bCs w:val="false"/>
          <w:color w:val="000000"/>
          <w:kern w:val="0"/>
          <w:sz w:val="26"/>
          <w:szCs w:val="26"/>
          <w:lang w:val="ru-RU" w:eastAsia="en-US" w:bidi="ar-SA"/>
        </w:rPr>
        <w:t>я</w:t>
      </w:r>
      <w:r>
        <w:rPr>
          <w:rFonts w:cs="Times New Roman" w:ascii="Times New Roman" w:hAnsi="Times New Roman"/>
          <w:b w:val="false"/>
          <w:bCs w:val="false"/>
          <w:color w:val="000000"/>
          <w:sz w:val="26"/>
          <w:szCs w:val="26"/>
        </w:rPr>
        <w:t xml:space="preserve"> о муниципальном контроле на автомобильном транспорте, городском наземном электрическом транспорте и в дорожном хозяйстве на территории Калининского сельсовета</w:t>
      </w:r>
      <w:r>
        <w:rPr>
          <w:rFonts w:cs="Times New Roman" w:ascii="Times New Roman" w:hAnsi="Times New Roman"/>
          <w:b/>
          <w:bCs/>
          <w:color w:val="000000"/>
          <w:sz w:val="26"/>
          <w:szCs w:val="26"/>
        </w:rPr>
        <w:t xml:space="preserve"> </w:t>
      </w:r>
      <w:r>
        <w:rPr>
          <w:rFonts w:cs="Times New Roman" w:ascii="Times New Roman" w:hAnsi="Times New Roman"/>
          <w:b w:val="false"/>
          <w:i w:val="false"/>
          <w:strike w:val="false"/>
          <w:dstrike w:val="false"/>
          <w:color w:val="000000"/>
          <w:sz w:val="26"/>
          <w:szCs w:val="26"/>
          <w:u w:val="none"/>
        </w:rPr>
        <w:t xml:space="preserve">дополнить частями </w:t>
      </w:r>
      <w:r>
        <w:rPr>
          <w:rFonts w:eastAsia="Calibri" w:cs="Times New Roman" w:ascii="Times New Roman" w:hAnsi="Times New Roman" w:eastAsiaTheme="minorHAnsi"/>
          <w:b w:val="false"/>
          <w:i w:val="false"/>
          <w:strike w:val="false"/>
          <w:dstrike w:val="false"/>
          <w:color w:val="000000"/>
          <w:kern w:val="0"/>
          <w:sz w:val="26"/>
          <w:szCs w:val="26"/>
          <w:u w:val="none"/>
          <w:lang w:val="ru-RU" w:eastAsia="en-US" w:bidi="ar-SA"/>
        </w:rPr>
        <w:t>3.12</w:t>
      </w:r>
      <w:r>
        <w:rPr>
          <w:rFonts w:cs="Times New Roman" w:ascii="Times New Roman" w:hAnsi="Times New Roman"/>
          <w:b w:val="false"/>
          <w:i w:val="false"/>
          <w:strike w:val="false"/>
          <w:dstrike w:val="false"/>
          <w:color w:val="000000"/>
          <w:sz w:val="26"/>
          <w:szCs w:val="26"/>
          <w:u w:val="none"/>
        </w:rPr>
        <w:t xml:space="preserve"> — </w:t>
      </w:r>
      <w:r>
        <w:rPr>
          <w:rFonts w:eastAsia="Calibri" w:cs="Times New Roman" w:ascii="Times New Roman" w:hAnsi="Times New Roman" w:eastAsiaTheme="minorHAnsi"/>
          <w:b w:val="false"/>
          <w:i w:val="false"/>
          <w:strike w:val="false"/>
          <w:dstrike w:val="false"/>
          <w:color w:val="000000"/>
          <w:kern w:val="0"/>
          <w:sz w:val="26"/>
          <w:szCs w:val="26"/>
          <w:u w:val="none"/>
          <w:lang w:val="ru-RU" w:eastAsia="en-US" w:bidi="ar-SA"/>
        </w:rPr>
        <w:t>3.15</w:t>
      </w:r>
      <w:r>
        <w:rPr>
          <w:rFonts w:cs="Times New Roman" w:ascii="Times New Roman" w:hAnsi="Times New Roman"/>
          <w:b w:val="false"/>
          <w:i w:val="false"/>
          <w:strike w:val="false"/>
          <w:dstrike w:val="false"/>
          <w:color w:val="000000"/>
          <w:sz w:val="26"/>
          <w:szCs w:val="26"/>
          <w:u w:val="none"/>
        </w:rPr>
        <w:t xml:space="preserve"> следующего содержания:</w:t>
      </w:r>
    </w:p>
    <w:p>
      <w:pPr>
        <w:pStyle w:val="Normal"/>
        <w:spacing w:before="200" w:after="0"/>
        <w:ind w:left="0" w:firstLine="540"/>
        <w:jc w:val="both"/>
        <w:rPr>
          <w:color w:val="000000"/>
        </w:rPr>
      </w:pPr>
      <w:r>
        <w:rPr>
          <w:rFonts w:eastAsia="Times New Roman" w:cs="Times New Roman"/>
          <w:b w:val="false"/>
          <w:i w:val="false"/>
          <w:strike w:val="false"/>
          <w:dstrike w:val="false"/>
          <w:color w:val="000000"/>
          <w:kern w:val="0"/>
          <w:sz w:val="26"/>
          <w:szCs w:val="26"/>
          <w:u w:val="none"/>
          <w:lang w:val="ru-RU" w:eastAsia="ru-RU" w:bidi="ar-SA"/>
        </w:rPr>
        <w:t>"3.12</w:t>
      </w:r>
      <w:r>
        <w:rPr>
          <w:b w:val="false"/>
          <w:i w:val="false"/>
          <w:strike w:val="false"/>
          <w:dstrike w:val="false"/>
          <w:color w:val="000000"/>
          <w:sz w:val="26"/>
          <w:szCs w:val="26"/>
          <w:u w:val="none"/>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Normal"/>
        <w:spacing w:before="200" w:after="0"/>
        <w:ind w:left="0" w:firstLine="540"/>
        <w:jc w:val="both"/>
        <w:rPr>
          <w:color w:val="000000"/>
        </w:rPr>
      </w:pPr>
      <w:r>
        <w:rPr>
          <w:rFonts w:eastAsia="Times New Roman" w:cs="Times New Roman"/>
          <w:b w:val="false"/>
          <w:i w:val="false"/>
          <w:strike w:val="false"/>
          <w:dstrike w:val="false"/>
          <w:color w:val="000000"/>
          <w:kern w:val="0"/>
          <w:sz w:val="26"/>
          <w:szCs w:val="26"/>
          <w:u w:val="none"/>
          <w:lang w:val="ru-RU" w:eastAsia="ru-RU" w:bidi="ar-SA"/>
        </w:rPr>
        <w:t>3.13</w:t>
      </w:r>
      <w:r>
        <w:rPr>
          <w:b w:val="false"/>
          <w:i w:val="false"/>
          <w:strike w:val="false"/>
          <w:dstrike w:val="false"/>
          <w:color w:val="000000"/>
          <w:sz w:val="26"/>
          <w:szCs w:val="26"/>
          <w:u w:val="none"/>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Normal"/>
        <w:spacing w:before="200" w:after="0"/>
        <w:ind w:left="0" w:firstLine="540"/>
        <w:jc w:val="both"/>
        <w:rPr>
          <w:color w:val="000000"/>
        </w:rPr>
      </w:pPr>
      <w:r>
        <w:rPr>
          <w:rFonts w:eastAsia="Times New Roman" w:cs="Times New Roman"/>
          <w:b w:val="false"/>
          <w:i w:val="false"/>
          <w:strike w:val="false"/>
          <w:dstrike w:val="false"/>
          <w:color w:val="000000"/>
          <w:kern w:val="0"/>
          <w:sz w:val="26"/>
          <w:szCs w:val="26"/>
          <w:u w:val="none"/>
          <w:lang w:val="ru-RU" w:eastAsia="ru-RU" w:bidi="ar-SA"/>
        </w:rPr>
        <w:t>3.14</w:t>
      </w:r>
      <w:r>
        <w:rPr>
          <w:b w:val="false"/>
          <w:i w:val="false"/>
          <w:strike w:val="false"/>
          <w:dstrike w:val="false"/>
          <w:color w:val="000000"/>
          <w:sz w:val="26"/>
          <w:szCs w:val="26"/>
          <w:u w:val="none"/>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Normal"/>
        <w:spacing w:before="200" w:after="0"/>
        <w:ind w:left="0" w:firstLine="540"/>
        <w:jc w:val="both"/>
        <w:rPr>
          <w:color w:val="000000"/>
        </w:rPr>
      </w:pPr>
      <w:r>
        <w:rPr>
          <w:b w:val="false"/>
          <w:i w:val="false"/>
          <w:strike w:val="false"/>
          <w:dstrike w:val="false"/>
          <w:color w:val="000000"/>
          <w:sz w:val="26"/>
          <w:szCs w:val="26"/>
          <w:u w:val="none"/>
        </w:rPr>
        <w:t>1) от контролируемого лица поступило уведомление об отзыве заявления о проведении профилактического визита;</w:t>
      </w:r>
    </w:p>
    <w:p>
      <w:pPr>
        <w:pStyle w:val="Normal"/>
        <w:spacing w:before="200" w:after="0"/>
        <w:ind w:left="0" w:firstLine="540"/>
        <w:jc w:val="both"/>
        <w:rPr>
          <w:color w:val="000000"/>
        </w:rPr>
      </w:pPr>
      <w:r>
        <w:rPr>
          <w:b w:val="false"/>
          <w:i w:val="false"/>
          <w:strike w:val="false"/>
          <w:dstrike w:val="false"/>
          <w:color w:val="000000"/>
          <w:sz w:val="26"/>
          <w:szCs w:val="26"/>
          <w:u w:val="none"/>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Normal"/>
        <w:spacing w:before="200" w:after="0"/>
        <w:ind w:left="0" w:firstLine="540"/>
        <w:jc w:val="both"/>
        <w:rPr>
          <w:color w:val="000000"/>
        </w:rPr>
      </w:pPr>
      <w:r>
        <w:rPr>
          <w:b w:val="false"/>
          <w:i w:val="false"/>
          <w:strike w:val="false"/>
          <w:dstrike w:val="false"/>
          <w:color w:val="000000"/>
          <w:sz w:val="26"/>
          <w:szCs w:val="26"/>
          <w:u w:val="none"/>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spacing w:before="200" w:after="0"/>
        <w:ind w:left="0" w:firstLine="540"/>
        <w:jc w:val="both"/>
        <w:rPr>
          <w:color w:val="000000"/>
        </w:rPr>
      </w:pPr>
      <w:r>
        <w:rPr>
          <w:b w:val="false"/>
          <w:i w:val="false"/>
          <w:strike w:val="false"/>
          <w:dstrike w:val="false"/>
          <w:color w:val="000000"/>
          <w:sz w:val="26"/>
          <w:szCs w:val="26"/>
          <w:u w:val="none"/>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Spacing"/>
        <w:jc w:val="both"/>
        <w:rPr>
          <w:color w:val="000000"/>
        </w:rPr>
      </w:pPr>
      <w:r>
        <w:rPr>
          <w:rFonts w:eastAsia="Calibri" w:cs="Times New Roman" w:ascii="Times New Roman" w:hAnsi="Times New Roman" w:eastAsiaTheme="minorHAnsi"/>
          <w:b w:val="false"/>
          <w:i w:val="false"/>
          <w:strike w:val="false"/>
          <w:dstrike w:val="false"/>
          <w:color w:val="000000"/>
          <w:kern w:val="0"/>
          <w:sz w:val="26"/>
          <w:szCs w:val="26"/>
          <w:u w:val="none"/>
          <w:lang w:val="ru-RU" w:eastAsia="en-US" w:bidi="ar-SA"/>
        </w:rPr>
        <w:t>3.15</w:t>
      </w:r>
      <w:r>
        <w:rPr>
          <w:rFonts w:cs="Times New Roman" w:ascii="Times New Roman" w:hAnsi="Times New Roman"/>
          <w:b w:val="false"/>
          <w:i w:val="false"/>
          <w:strike w:val="false"/>
          <w:dstrike w:val="false"/>
          <w:color w:val="000000"/>
          <w:sz w:val="26"/>
          <w:szCs w:val="26"/>
          <w:u w:val="none"/>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NoSpacing"/>
        <w:jc w:val="both"/>
        <w:rPr>
          <w:rFonts w:ascii="Times New Roman" w:hAnsi="Times New Roman"/>
          <w:color w:val="C9211E"/>
          <w:sz w:val="26"/>
          <w:szCs w:val="26"/>
        </w:rPr>
      </w:pPr>
      <w:r>
        <w:rPr>
          <w:rFonts w:ascii="Times New Roman" w:hAnsi="Times New Roman"/>
          <w:color w:val="C9211E"/>
          <w:sz w:val="26"/>
          <w:szCs w:val="26"/>
        </w:rPr>
      </w:r>
    </w:p>
    <w:p>
      <w:pPr>
        <w:pStyle w:val="NoSpacing"/>
        <w:jc w:val="both"/>
        <w:rPr>
          <w:rFonts w:ascii="Times New Roman" w:hAnsi="Times New Roman"/>
          <w:sz w:val="26"/>
          <w:szCs w:val="26"/>
        </w:rPr>
      </w:pPr>
      <w:r>
        <w:rPr>
          <w:rFonts w:cs="Times New Roman" w:ascii="Times New Roman" w:hAnsi="Times New Roman"/>
          <w:sz w:val="26"/>
          <w:szCs w:val="26"/>
        </w:rPr>
        <w:t>2. Настоящее решение вступает в силу со дня его официального опубликования.</w:t>
      </w:r>
    </w:p>
    <w:p>
      <w:pPr>
        <w:pStyle w:val="NoSpacing"/>
        <w:jc w:val="both"/>
        <w:rPr>
          <w:rFonts w:cs="Times New Roman"/>
        </w:rPr>
      </w:pPr>
      <w:r>
        <w:rPr>
          <w:rFonts w:cs="Times New Roman"/>
        </w:rPr>
      </w:r>
    </w:p>
    <w:p>
      <w:pPr>
        <w:pStyle w:val="NoSpacing"/>
        <w:jc w:val="both"/>
        <w:rPr>
          <w:rFonts w:ascii="Times New Roman" w:hAnsi="Times New Roman"/>
          <w:sz w:val="26"/>
          <w:szCs w:val="26"/>
        </w:rPr>
      </w:pPr>
      <w:r>
        <w:rPr>
          <w:rFonts w:cs="Times New Roman" w:ascii="Times New Roman" w:hAnsi="Times New Roman"/>
          <w:sz w:val="26"/>
          <w:szCs w:val="26"/>
        </w:rPr>
        <w:t>3. Разместить настоящее решение на официальном сайте администрации Калининского сельсовета в сети Интернет.</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sz w:val="26"/>
          <w:szCs w:val="26"/>
        </w:rPr>
      </w:pPr>
      <w:r>
        <w:rPr>
          <w:rFonts w:cs="Times New Roman" w:ascii="Times New Roman" w:hAnsi="Times New Roman"/>
          <w:sz w:val="26"/>
          <w:szCs w:val="26"/>
        </w:rPr>
        <w:t>Глава Калининского сельсовета                                                                     И.А. Сажин</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t>Приложение к Решению</w:t>
      </w:r>
    </w:p>
    <w:p>
      <w:pPr>
        <w:pStyle w:val="NoSpacing"/>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Совета депутатов Калининского сельсовета</w:t>
      </w:r>
    </w:p>
    <w:p>
      <w:pPr>
        <w:pStyle w:val="NoSpacing"/>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от  10.12.2021г.  № 41     </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Положение о муниципальном контроле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автомобильном транспорте, городском наземном электрическом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1. Общие положения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Калининского сельсовета (далее –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 области автомобильных дорог и дорожной деятельности, установленных в отношении автомобильных дорог местного значения Калининского сельсовета (далее – автомобильные дороги местного значения или автомобильные дороги общего пользования местного значения):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1.3. Муниципальный контроль на автомобильном транспорте осуществляется администрацией Калининского сельсовета (далее – администрация).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1.4. Должностными лицами администрации, уполномоченными осуществлять муниципальный контроль на автомобильном транспорте, является ведущий специалист администрации Калининского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1.6. Объектами муниципального контроля на автомобильном транспорте являются: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использованию полос отвода и (или) придорожных полос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присоединение объектов дорожного сервиса к автомобильным дорогам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придорожные полосы и полосы отвода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автомобильная дорога общего пользования местного значения и искусственные дорожные сооружения на ней;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примыкания к автомобильным дорогам местного значения, в том числе примыкания объектов дорожного сервиса.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1.8. Система оценки и управления рисками при осуществлении муниципального контроля на автомобильном транспорте не применяется</w:t>
      </w: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2. Категории риска причинения вреда (ущерба)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значительный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средний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умеренный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низкий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2.6. В случае если объект контроля не отнесен к определенной категории риска, он считается отнесенным к категории низкого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Перечень содержит следующую информацию: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основной государственный регистрационный номер;</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идентификационный номер налогоплательщика;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наименование объекта муниципального контроля (при наличии);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место нахождения объекта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На официальном сайте Администрации Калининского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3. Профилактика рисков причинения вреда (ущерба) охраняемым законом ценностям</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Калининского сельсовета для принятия решения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информирование;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обобщение правоприменительной практики;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объявление предостережений;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консультирование;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профилактический визит.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также вправе информировать население Калининского  сельсовета на собраниях и конференциях граждан об обязательных требованиях, предъявляемых к объектам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Калининский сельсовет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Личный прием граждан проводится Главой Калининского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Консультирование осуществляется в устной или письменной форме по следующим вопросам: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организация и осуществление муниципального контроля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порядок осуществления контрольных мероприятий, установленных настоящим Положением;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за время консультирования предоставить в устной форме ответ на поставленные вопросы невозможно;</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ответ на поставленные вопросы требует дополнительного запроса сведений.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сельсовета или должностным лицом, уполномоченным осуществлять муниципальный контроль на автомобильном транспорте.</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200" w:after="0"/>
        <w:ind w:left="0" w:firstLine="540"/>
        <w:jc w:val="both"/>
        <w:rPr>
          <w:rFonts w:ascii="Times New Roman" w:hAnsi="Times New Roman"/>
          <w:color w:val="C9211E"/>
          <w:sz w:val="26"/>
          <w:szCs w:val="26"/>
        </w:rPr>
      </w:pPr>
      <w:r>
        <w:rPr>
          <w:rFonts w:eastAsia="Times New Roman" w:cs="Times New Roman"/>
          <w:b w:val="false"/>
          <w:i w:val="false"/>
          <w:strike w:val="false"/>
          <w:dstrike w:val="false"/>
          <w:color w:val="C9211E"/>
          <w:kern w:val="0"/>
          <w:sz w:val="26"/>
          <w:szCs w:val="26"/>
          <w:u w:val="none"/>
          <w:lang w:val="ru-RU" w:eastAsia="ru-RU" w:bidi="ar-SA"/>
        </w:rPr>
        <w:t>3.12</w:t>
      </w:r>
      <w:r>
        <w:rPr>
          <w:b w:val="false"/>
          <w:i w:val="false"/>
          <w:strike w:val="false"/>
          <w:dstrike w:val="false"/>
          <w:color w:val="C9211E"/>
          <w:sz w:val="26"/>
          <w:szCs w:val="26"/>
          <w:u w:val="none"/>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Normal"/>
        <w:spacing w:before="200" w:after="0"/>
        <w:ind w:left="0" w:firstLine="540"/>
        <w:jc w:val="both"/>
        <w:rPr>
          <w:rFonts w:ascii="Times New Roman" w:hAnsi="Times New Roman"/>
          <w:color w:val="C9211E"/>
          <w:sz w:val="26"/>
          <w:szCs w:val="26"/>
        </w:rPr>
      </w:pPr>
      <w:r>
        <w:rPr>
          <w:rFonts w:eastAsia="Times New Roman" w:cs="Times New Roman"/>
          <w:b w:val="false"/>
          <w:i w:val="false"/>
          <w:strike w:val="false"/>
          <w:dstrike w:val="false"/>
          <w:color w:val="C9211E"/>
          <w:kern w:val="0"/>
          <w:sz w:val="26"/>
          <w:szCs w:val="26"/>
          <w:u w:val="none"/>
          <w:lang w:val="ru-RU" w:eastAsia="ru-RU" w:bidi="ar-SA"/>
        </w:rPr>
        <w:t>3.13</w:t>
      </w:r>
      <w:r>
        <w:rPr>
          <w:b w:val="false"/>
          <w:i w:val="false"/>
          <w:strike w:val="false"/>
          <w:dstrike w:val="false"/>
          <w:color w:val="C9211E"/>
          <w:sz w:val="26"/>
          <w:szCs w:val="26"/>
          <w:u w:val="none"/>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Normal"/>
        <w:spacing w:before="200" w:after="0"/>
        <w:ind w:left="0" w:firstLine="540"/>
        <w:jc w:val="both"/>
        <w:rPr>
          <w:rFonts w:ascii="Times New Roman" w:hAnsi="Times New Roman"/>
          <w:color w:val="C9211E"/>
          <w:sz w:val="26"/>
          <w:szCs w:val="26"/>
        </w:rPr>
      </w:pPr>
      <w:r>
        <w:rPr>
          <w:rFonts w:eastAsia="Times New Roman" w:cs="Times New Roman"/>
          <w:b w:val="false"/>
          <w:i w:val="false"/>
          <w:strike w:val="false"/>
          <w:dstrike w:val="false"/>
          <w:color w:val="C9211E"/>
          <w:kern w:val="0"/>
          <w:sz w:val="26"/>
          <w:szCs w:val="26"/>
          <w:u w:val="none"/>
          <w:lang w:val="ru-RU" w:eastAsia="ru-RU" w:bidi="ar-SA"/>
        </w:rPr>
        <w:t>3.14</w:t>
      </w:r>
      <w:r>
        <w:rPr>
          <w:b w:val="false"/>
          <w:i w:val="false"/>
          <w:strike w:val="false"/>
          <w:dstrike w:val="false"/>
          <w:color w:val="C9211E"/>
          <w:sz w:val="26"/>
          <w:szCs w:val="26"/>
          <w:u w:val="none"/>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Normal"/>
        <w:spacing w:before="200" w:after="0"/>
        <w:ind w:left="0" w:firstLine="540"/>
        <w:jc w:val="both"/>
        <w:rPr>
          <w:rFonts w:ascii="Times New Roman" w:hAnsi="Times New Roman"/>
          <w:color w:val="C9211E"/>
          <w:sz w:val="26"/>
          <w:szCs w:val="26"/>
        </w:rPr>
      </w:pPr>
      <w:r>
        <w:rPr>
          <w:b w:val="false"/>
          <w:i w:val="false"/>
          <w:strike w:val="false"/>
          <w:dstrike w:val="false"/>
          <w:color w:val="C9211E"/>
          <w:sz w:val="26"/>
          <w:szCs w:val="26"/>
          <w:u w:val="none"/>
        </w:rPr>
        <w:t>1) от контролируемого лица поступило уведомление об отзыве заявления о проведении профилактического визита;</w:t>
      </w:r>
    </w:p>
    <w:p>
      <w:pPr>
        <w:pStyle w:val="Normal"/>
        <w:spacing w:before="200" w:after="0"/>
        <w:ind w:left="0" w:firstLine="540"/>
        <w:jc w:val="both"/>
        <w:rPr>
          <w:rFonts w:ascii="Times New Roman" w:hAnsi="Times New Roman"/>
          <w:color w:val="C9211E"/>
          <w:sz w:val="26"/>
          <w:szCs w:val="26"/>
        </w:rPr>
      </w:pPr>
      <w:r>
        <w:rPr>
          <w:b w:val="false"/>
          <w:i w:val="false"/>
          <w:strike w:val="false"/>
          <w:dstrike w:val="false"/>
          <w:color w:val="C9211E"/>
          <w:sz w:val="26"/>
          <w:szCs w:val="26"/>
          <w:u w:val="none"/>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Normal"/>
        <w:spacing w:before="200" w:after="0"/>
        <w:ind w:left="0" w:firstLine="540"/>
        <w:jc w:val="both"/>
        <w:rPr>
          <w:rFonts w:ascii="Times New Roman" w:hAnsi="Times New Roman"/>
          <w:color w:val="C9211E"/>
          <w:sz w:val="26"/>
          <w:szCs w:val="26"/>
        </w:rPr>
      </w:pPr>
      <w:r>
        <w:rPr>
          <w:b w:val="false"/>
          <w:i w:val="false"/>
          <w:strike w:val="false"/>
          <w:dstrike w:val="false"/>
          <w:color w:val="C9211E"/>
          <w:sz w:val="26"/>
          <w:szCs w:val="26"/>
          <w:u w:val="none"/>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spacing w:before="200" w:after="0"/>
        <w:ind w:left="0" w:firstLine="540"/>
        <w:jc w:val="both"/>
        <w:rPr>
          <w:rFonts w:ascii="Times New Roman" w:hAnsi="Times New Roman"/>
          <w:color w:val="C9211E"/>
          <w:sz w:val="26"/>
          <w:szCs w:val="26"/>
        </w:rPr>
      </w:pPr>
      <w:r>
        <w:rPr>
          <w:b w:val="false"/>
          <w:i w:val="false"/>
          <w:strike w:val="false"/>
          <w:dstrike w:val="false"/>
          <w:color w:val="C9211E"/>
          <w:sz w:val="26"/>
          <w:szCs w:val="26"/>
          <w:u w:val="none"/>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Spacing"/>
        <w:tabs>
          <w:tab w:val="clear" w:pos="708"/>
          <w:tab w:val="left" w:pos="709" w:leader="none"/>
        </w:tabs>
        <w:ind w:firstLine="709"/>
        <w:jc w:val="both"/>
        <w:rPr>
          <w:rFonts w:ascii="Times New Roman" w:hAnsi="Times New Roman"/>
          <w:color w:val="C9211E"/>
          <w:sz w:val="26"/>
          <w:szCs w:val="26"/>
        </w:rPr>
      </w:pPr>
      <w:r>
        <w:rPr>
          <w:rFonts w:eastAsia="Calibri" w:cs="Times New Roman" w:ascii="Times New Roman" w:hAnsi="Times New Roman" w:eastAsiaTheme="minorHAnsi"/>
          <w:b w:val="false"/>
          <w:bCs/>
          <w:i w:val="false"/>
          <w:strike w:val="false"/>
          <w:dstrike w:val="false"/>
          <w:color w:val="C9211E"/>
          <w:kern w:val="0"/>
          <w:sz w:val="26"/>
          <w:szCs w:val="26"/>
          <w:u w:val="none"/>
          <w:lang w:val="ru-RU" w:eastAsia="en-US" w:bidi="ar-SA"/>
        </w:rPr>
        <w:t>3.15</w:t>
      </w:r>
      <w:r>
        <w:rPr>
          <w:rFonts w:cs="Times New Roman" w:ascii="Times New Roman" w:hAnsi="Times New Roman"/>
          <w:b w:val="false"/>
          <w:bCs/>
          <w:i w:val="false"/>
          <w:strike w:val="false"/>
          <w:dstrike w:val="false"/>
          <w:color w:val="C9211E"/>
          <w:sz w:val="26"/>
          <w:szCs w:val="26"/>
          <w:u w:val="none"/>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4. Осуществление контрольных мероприятий и контрольных действий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документарная проверка (посредством получения письменных объяснений, истребования документов,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выездное обследование (посредством осмотра, инструментального обследования (с применением видеозаписи),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4.3. Контрольные мероприятия, указанные в подпунктах 1 – 4 пункта 3.5 настоящего Положения, проводятся в форме внеплановых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Внеплановые контрольные мероприятия могут проводиться только после согласования с органами прокуратуры.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4.4. Основанием для проведения контрольных мероприятий, проводимых с взаимодействием с контролируемыми лицами, является: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Калининского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4.11. Срок проведения выездной проверки не может превышать 10 рабочих дней.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4.15. Информация о контрольных мероприятиях размещается в Едином реестре контрольных (надзорных)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Хакасия, органами местного самоуправления, правоохранительными органами, организациями и гражданами.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решений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актов контрольных мероприятий, предписаний об устранении выявленных нарушений;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Калининского сельсовета с предварительным информированием Главы Калининского сельсовета о наличии в жалобе (документах) сведений, составляющих государственную или иную охраняемую законом тайну.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5.4. Жалоба на решение администрации, действия (бездействие) его должностных лиц рассматривается Главой (заместителем главы) Калининского сельсовета.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Калининского  сельсовета не более чем на 20 рабочих дней.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6. Ключевые показатели муниципального контроля на автомобильном транспорте и их целевые значения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Калининского сельсовета Усть-Абаканского района Республики Хакасия.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1</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автомобильном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 на территории</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Калининского сельсовета</w:t>
      </w:r>
    </w:p>
    <w:p>
      <w:pPr>
        <w:pStyle w:val="NoSpacing"/>
        <w:tabs>
          <w:tab w:val="clear" w:pos="708"/>
          <w:tab w:val="left" w:pos="6571" w:leader="none"/>
        </w:tabs>
        <w:rPr>
          <w:rFonts w:ascii="Times New Roman" w:hAnsi="Times New Roman" w:cs="Times New Roman"/>
          <w:b/>
          <w:b/>
          <w:bCs/>
          <w:sz w:val="26"/>
          <w:szCs w:val="26"/>
        </w:rPr>
      </w:pPr>
      <w:r>
        <w:rPr>
          <w:rFonts w:cs="Times New Roman" w:ascii="Times New Roman" w:hAnsi="Times New Roman"/>
          <w:b/>
          <w:bCs/>
          <w:sz w:val="26"/>
          <w:szCs w:val="26"/>
        </w:rPr>
        <w:tab/>
      </w:r>
      <w:bookmarkStart w:id="0" w:name="_GoBack"/>
      <w:bookmarkEnd w:id="0"/>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в дорожном хозяйстве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959"/>
        <w:gridCol w:w="5806"/>
        <w:gridCol w:w="2806"/>
      </w:tblGrid>
      <w:tr>
        <w:trPr/>
        <w:tc>
          <w:tcPr>
            <w:tcW w:w="959"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п/п</w:t>
            </w:r>
          </w:p>
        </w:tc>
        <w:tc>
          <w:tcPr>
            <w:tcW w:w="5806"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Объекты муниципального контроля в сфере благоустройства на территории Калининского сельсовета</w:t>
            </w:r>
          </w:p>
        </w:tc>
        <w:tc>
          <w:tcPr>
            <w:tcW w:w="2806"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Категория риска</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1</w:t>
            </w:r>
          </w:p>
        </w:tc>
        <w:tc>
          <w:tcPr>
            <w:tcW w:w="5806"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6"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Значительный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2</w:t>
            </w:r>
          </w:p>
        </w:tc>
        <w:tc>
          <w:tcPr>
            <w:tcW w:w="5806"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6"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Средний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3</w:t>
            </w:r>
          </w:p>
        </w:tc>
        <w:tc>
          <w:tcPr>
            <w:tcW w:w="5806"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6"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Умеренный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4</w:t>
            </w:r>
          </w:p>
        </w:tc>
        <w:tc>
          <w:tcPr>
            <w:tcW w:w="5806"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806"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Низкий риск</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Приложение 2</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к Положению о муниципальном контроле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автомобильном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городском наземном электрическом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и в дорожном хозяйстве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Перечень индикаторов риска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нарушения обязательных требований, проверяемых в рамках осуществления муниципального контроля в сфере благоустройства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3190"/>
        <w:gridCol w:w="3190"/>
        <w:gridCol w:w="3191"/>
      </w:tblGrid>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Нормальное состояние для выбранного параметра (критерии оценки), единица измерения (при наличии)</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Показатель</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индикатора риска</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1</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5-10, шт.</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&lt; 5 шт. или</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&gt; 10 шт</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2</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нет</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да</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3</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определяется в соответствии с Федеральным законом</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снижение или превышение нормальных параметров более чем</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 10%</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4</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на автомобильном транспорте, </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Ключевые показатели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и их целевые значения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Индикативные показатели</w:t>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в сфере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2) количество проведенных органом муниципального контроля внеплановых контрольных мероприятий;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4) количество выявленных органом муниципального контроля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5) количество устраненных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6) количество поступивших возражений в отношении акта контрольного мероприятия; </w:t>
      </w:r>
    </w:p>
    <w:p>
      <w:pPr>
        <w:pStyle w:val="NoSpacing"/>
        <w:ind w:firstLine="426"/>
        <w:jc w:val="both"/>
        <w:rPr>
          <w:rFonts w:ascii="Times New Roman" w:hAnsi="Times New Roman" w:cs="Times New Roman"/>
          <w:sz w:val="26"/>
          <w:szCs w:val="26"/>
        </w:rPr>
      </w:pPr>
      <w:r>
        <w:rPr>
          <w:rFonts w:cs="Times New Roman" w:ascii="Times New Roman" w:hAnsi="Times New Roman"/>
          <w:bCs/>
          <w:sz w:val="26"/>
          <w:szCs w:val="26"/>
        </w:rPr>
        <w:t>7) количество выданных органом муниципального контроля предписаний об устранении нарушений обязательных требований</w:t>
      </w:r>
    </w:p>
    <w:sectPr>
      <w:type w:val="nextPage"/>
      <w:pgSz w:w="11906" w:h="16838"/>
      <w:pgMar w:left="1701" w:right="850" w:gutter="0" w:header="0" w:top="113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6e2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5d04a0"/>
    <w:rPr>
      <w:color w:val="0563C1" w:themeColor="hyperlink"/>
      <w:u w:val="single"/>
    </w:rPr>
  </w:style>
  <w:style w:type="character" w:styleId="UnresolvedMention" w:customStyle="1">
    <w:name w:val="Unresolved Mention"/>
    <w:basedOn w:val="DefaultParagraphFont"/>
    <w:uiPriority w:val="99"/>
    <w:semiHidden/>
    <w:unhideWhenUsed/>
    <w:qFormat/>
    <w:rsid w:val="005d04a0"/>
    <w:rPr>
      <w:color w:val="605E5C"/>
      <w:shd w:fill="E1DFDD" w:val="clear"/>
    </w:rPr>
  </w:style>
  <w:style w:type="character" w:styleId="Style15" w:customStyle="1">
    <w:name w:val="Текст выноски Знак"/>
    <w:basedOn w:val="DefaultParagraphFont"/>
    <w:link w:val="a5"/>
    <w:uiPriority w:val="99"/>
    <w:semiHidden/>
    <w:qFormat/>
    <w:rsid w:val="003f6537"/>
    <w:rPr>
      <w:rFonts w:ascii="Tahoma" w:hAnsi="Tahoma" w:eastAsia="Times New Roman" w:cs="Tahoma"/>
      <w:sz w:val="16"/>
      <w:szCs w:val="16"/>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NoSpacing">
    <w:name w:val="No Spacing"/>
    <w:uiPriority w:val="1"/>
    <w:qFormat/>
    <w:rsid w:val="00d866d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Title" w:customStyle="1">
    <w:name w:val="ConsPlusTitle"/>
    <w:qFormat/>
    <w:rsid w:val="00c56e2b"/>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BalloonText">
    <w:name w:val="Balloon Text"/>
    <w:basedOn w:val="Normal"/>
    <w:link w:val="a6"/>
    <w:uiPriority w:val="99"/>
    <w:semiHidden/>
    <w:unhideWhenUsed/>
    <w:qFormat/>
    <w:rsid w:val="003f6537"/>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39"/>
    <w:rsid w:val="00d043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LibreOffice/7.2.1.2$Windows_X86_64 LibreOffice_project/87b77fad49947c1441b67c559c339af8f3517e22</Application>
  <AppVersion>15.0000</AppVersion>
  <Pages>21</Pages>
  <Words>6034</Words>
  <Characters>46894</Characters>
  <CharactersWithSpaces>53053</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2021-11-22T07:52:00Z</dcterms:created>
  <dc:creator>Бюр Усть</dc:creator>
  <dc:description/>
  <dc:language>ru-RU</dc:language>
  <cp:lastModifiedBy/>
  <cp:lastPrinted>2024-05-15T15:14:45Z</cp:lastPrinted>
  <dcterms:modified xsi:type="dcterms:W3CDTF">2024-05-15T15:17:55Z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