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19.12.</w:t>
      </w:r>
      <w:r>
        <w:rPr>
          <w:sz w:val="26"/>
        </w:rPr>
        <w:t>2023г. №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804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40 Градостроительного кодекса Российской Федерации, на основании заключения об итогах проведения публичных слушаний от</w:t>
      </w:r>
      <w:r>
        <w:rPr>
          <w:rFonts w:ascii="Times New Roman" w:hAnsi="Times New Roman"/>
          <w:b/>
          <w:bCs/>
          <w:sz w:val="26"/>
          <w:szCs w:val="26"/>
        </w:rPr>
        <w:t xml:space="preserve"> 12.12.202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ого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en-US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Родная,  земельный участок 87, площадью </w:t>
      </w:r>
      <w:r>
        <w:rPr>
          <w:rFonts w:eastAsia="Times New Roman" w:cs="Times New Roman"/>
          <w:sz w:val="26"/>
          <w:szCs w:val="26"/>
          <w:lang w:val="en-US" w:eastAsia="ar-SA"/>
        </w:rPr>
        <w:t>1712</w:t>
      </w:r>
      <w:r>
        <w:rPr>
          <w:rFonts w:cs="Times New Roman"/>
          <w:sz w:val="26"/>
          <w:szCs w:val="26"/>
          <w:lang w:val="en-US"/>
        </w:rPr>
        <w:t xml:space="preserve"> кв.м, кадастровый номер 19:10:050306:4032, вид разрешенного использования – для индивидуального жилищного строительства</w:t>
      </w:r>
      <w:r>
        <w:rPr>
          <w:rFonts w:eastAsia="Times New Roman" w:cs="Times New Roman"/>
          <w:sz w:val="26"/>
          <w:szCs w:val="26"/>
          <w:lang w:val="en-US" w:eastAsia="ar-SA"/>
        </w:rPr>
        <w:t>, расстояние от фронтальной границы земельного участка до жилого дома — 4 метра, расстояние от боковой границы земельного участка со стороны проезда до жилого  дома — 0 м.</w:t>
      </w:r>
      <w:r>
        <w:rPr>
          <w:rFonts w:cs="Times New Roman"/>
          <w:sz w:val="26"/>
          <w:szCs w:val="26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Application>LibreOffice/7.3.5.2$Windows_X86_64 LibreOffice_project/184fe81b8c8c30d8b5082578aee2fed2ea847c01</Application>
  <AppVersion>15.0000</AppVersion>
  <Pages>1</Pages>
  <Words>191</Words>
  <Characters>1389</Characters>
  <CharactersWithSpaces>1766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2023-12-19T10:57:43Z</cp:lastPrinted>
  <dcterms:modified xsi:type="dcterms:W3CDTF">2023-12-19T11:01:51Z</dcterms:modified>
  <cp:revision>88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