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6105" w:leader="none"/>
        </w:tabs>
        <w:jc w:val="center"/>
        <w:rPr/>
      </w:pPr>
      <w:r>
        <w:rPr/>
        <w:drawing>
          <wp:inline distT="0" distB="0" distL="0" distR="0">
            <wp:extent cx="733425" cy="733425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720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20"/>
      </w:tblGrid>
      <w:tr>
        <w:trPr/>
        <w:tc>
          <w:tcPr>
            <w:tcW w:w="972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" w:asciiTheme="minorHAnsi" w:eastAsiaTheme="minorEastAsia" w:hAnsiTheme="minorHAnsi"/>
                <w:sz w:val="22"/>
                <w:szCs w:val="22"/>
              </w:rPr>
            </w:pPr>
            <w:r>
              <w:rPr>
                <w:rFonts w:eastAsia="" w:eastAsiaTheme="minorEastAsia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720" w:type="dxa"/>
            <w:tcBorders>
              <w:bottom w:val="double" w:sz="18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 xml:space="preserve">                         </w:t>
            </w:r>
            <w:r>
              <w:rPr>
                <w:b/>
              </w:rPr>
              <w:t>СОВЕТ ДЕПУТАТОВ КАЛИНИНСКОГО  СЕЛЬСОВЕТА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b/>
                <w:b/>
                <w:bCs/>
                <w:kern w:val="2"/>
                <w:sz w:val="26"/>
                <w:szCs w:val="26"/>
              </w:rPr>
            </w:pPr>
            <w:r>
              <w:rPr>
                <w:b/>
              </w:rPr>
              <w:t>УСТЬ-АБАКАНСКОГО РАЙОНА РЕСПУБЛИКИ ХАКАСИЯ</w:t>
            </w:r>
          </w:p>
        </w:tc>
      </w:tr>
    </w:tbl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7032" w:leader="none"/>
        </w:tabs>
        <w:spacing w:lineRule="auto" w:line="240"/>
        <w:rPr>
          <w:b/>
          <w:b/>
          <w:sz w:val="26"/>
          <w:szCs w:val="26"/>
        </w:rPr>
      </w:pPr>
      <w:r>
        <w:rPr>
          <w:b/>
          <w:sz w:val="22"/>
          <w:szCs w:val="22"/>
        </w:rPr>
        <w:t xml:space="preserve">                                                                        </w:t>
      </w:r>
      <w:r>
        <w:rPr>
          <w:b/>
          <w:sz w:val="26"/>
          <w:szCs w:val="26"/>
        </w:rPr>
        <w:t xml:space="preserve">РЕШЕНИЕ                                       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sz w:val="26"/>
          <w:szCs w:val="26"/>
        </w:rPr>
        <w:t xml:space="preserve">от 21.11.2023г.                                  с. Калинино                                          № 41 </w:t>
      </w:r>
    </w:p>
    <w:p>
      <w:pPr>
        <w:pStyle w:val="Normal"/>
        <w:spacing w:lineRule="auto" w:line="24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center"/>
        <w:rPr>
          <w:b/>
          <w:b/>
          <w:i/>
          <w:i/>
        </w:rPr>
      </w:pPr>
      <w:r>
        <w:rPr>
          <w:b/>
          <w:i/>
          <w:sz w:val="26"/>
          <w:szCs w:val="26"/>
        </w:rPr>
        <w:t>Об установлении на территории муниципального образования Калининский сельсовет налога на имущество физических лиц на 2024год.</w:t>
      </w:r>
    </w:p>
    <w:p>
      <w:pPr>
        <w:pStyle w:val="Normal"/>
        <w:shd w:val="clear" w:color="auto" w:fill="FFFFFF"/>
        <w:spacing w:lineRule="auto" w:line="240"/>
        <w:ind w:left="29" w:right="10"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spacing w:lineRule="auto" w:line="240"/>
        <w:ind w:left="29" w:right="10" w:hanging="29"/>
        <w:jc w:val="both"/>
        <w:rPr/>
      </w:pP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 соответствии  с главой 32 Налогового кодекса Российской Федерации, пунктом 3 частью 10 статьи 35 Федерального закона от 06.10.2003г. № 131-ФЗ «Об общих принципах организации местного самоуправления в Российской Федерации» Законом Республики Хакасия от 14.07.2015  № 64-ЗРХ «Об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лиц, исходя из кадастровой стоимости объектов налогообложения»,</w:t>
      </w:r>
      <w:r>
        <w:rPr>
          <w:sz w:val="26"/>
          <w:szCs w:val="26"/>
        </w:rPr>
        <w:t xml:space="preserve">  руководствуясь Уставом муниципального образования Калининский</w:t>
        <w:tab/>
        <w:t xml:space="preserve">сельсовет, Совет депутатов Калининского сельсовета </w:t>
      </w:r>
    </w:p>
    <w:p>
      <w:pPr>
        <w:pStyle w:val="Normal"/>
        <w:shd w:val="clear" w:color="auto" w:fill="FFFFFF"/>
        <w:spacing w:lineRule="auto" w:line="240"/>
        <w:ind w:left="29" w:right="10" w:hanging="29"/>
        <w:jc w:val="both"/>
        <w:rPr/>
      </w:pPr>
      <w:r>
        <w:rPr>
          <w:b/>
          <w:bCs/>
          <w:sz w:val="26"/>
          <w:szCs w:val="26"/>
        </w:rPr>
        <w:t>РЕШИЛ: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</w:tabs>
        <w:spacing w:lineRule="auto" w:line="240"/>
        <w:ind w:left="29" w:right="19" w:firstLine="538"/>
        <w:jc w:val="both"/>
        <w:rPr/>
      </w:pPr>
      <w:r>
        <w:rPr>
          <w:spacing w:val="-7"/>
          <w:sz w:val="26"/>
          <w:szCs w:val="26"/>
        </w:rPr>
        <w:t>1.</w:t>
      </w:r>
      <w:r>
        <w:rPr>
          <w:sz w:val="26"/>
          <w:szCs w:val="26"/>
        </w:rPr>
        <w:tab/>
        <w:t>Ввести следующие налоговые ставки по налогу на имущество физических лиц;</w:t>
      </w:r>
    </w:p>
    <w:p>
      <w:pPr>
        <w:pStyle w:val="Normal"/>
        <w:shd w:val="clear" w:color="auto" w:fill="FFFFFF"/>
        <w:tabs>
          <w:tab w:val="clear" w:pos="708"/>
          <w:tab w:val="left" w:pos="1478" w:leader="underscore"/>
        </w:tabs>
        <w:spacing w:lineRule="auto" w:line="240"/>
        <w:ind w:left="29" w:firstLine="538"/>
        <w:jc w:val="both"/>
        <w:rPr/>
      </w:pPr>
      <w:r>
        <w:rPr>
          <w:sz w:val="26"/>
          <w:szCs w:val="26"/>
        </w:rPr>
        <w:t xml:space="preserve">1.1.  0,1 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процента в отношении жилых домов, частей жилых домов;</w:t>
      </w:r>
    </w:p>
    <w:p>
      <w:pPr>
        <w:pStyle w:val="Normal"/>
        <w:shd w:val="clear" w:color="auto" w:fill="FFFFFF"/>
        <w:tabs>
          <w:tab w:val="clear" w:pos="708"/>
          <w:tab w:val="left" w:pos="1478" w:leader="underscore"/>
        </w:tabs>
        <w:spacing w:lineRule="auto" w:line="240"/>
        <w:ind w:left="29" w:firstLine="538"/>
        <w:jc w:val="both"/>
        <w:rPr/>
      </w:pPr>
      <w:r>
        <w:rPr>
          <w:sz w:val="26"/>
          <w:szCs w:val="26"/>
        </w:rPr>
        <w:t>1.2. 0,1 процент в отношении квартир, частей квартир, комнат;</w:t>
      </w:r>
    </w:p>
    <w:p>
      <w:pPr>
        <w:pStyle w:val="Normal"/>
        <w:shd w:val="clear" w:color="auto" w:fill="FFFFFF"/>
        <w:tabs>
          <w:tab w:val="clear" w:pos="708"/>
          <w:tab w:val="left" w:pos="0" w:leader="underscore"/>
        </w:tabs>
        <w:spacing w:lineRule="auto" w:line="240"/>
        <w:ind w:left="29" w:firstLine="538"/>
        <w:jc w:val="both"/>
        <w:rPr/>
      </w:pPr>
      <w:r>
        <w:rPr>
          <w:sz w:val="26"/>
          <w:szCs w:val="26"/>
        </w:rPr>
        <w:t xml:space="preserve">1.3.  0,1 </w:t>
      </w:r>
      <w:r>
        <w:rPr>
          <w:i/>
          <w:iCs/>
          <w:sz w:val="26"/>
          <w:szCs w:val="26"/>
        </w:rPr>
        <w:t xml:space="preserve">  </w:t>
      </w:r>
      <w:r>
        <w:rPr>
          <w:sz w:val="26"/>
          <w:szCs w:val="26"/>
        </w:rPr>
        <w:t>процента   в   отношении   объектов   незавершенногостроительства в случае, если проектируемым назначением таких объектов является жилой дом;</w:t>
      </w:r>
    </w:p>
    <w:p>
      <w:pPr>
        <w:pStyle w:val="Normal"/>
        <w:shd w:val="clear" w:color="auto" w:fill="FFFFFF"/>
        <w:tabs>
          <w:tab w:val="clear" w:pos="708"/>
          <w:tab w:val="left" w:pos="1526" w:leader="underscore"/>
        </w:tabs>
        <w:spacing w:lineRule="auto" w:line="240"/>
        <w:ind w:left="29" w:firstLine="538"/>
        <w:jc w:val="both"/>
        <w:rPr/>
      </w:pPr>
      <w:r>
        <w:rPr>
          <w:sz w:val="26"/>
          <w:szCs w:val="26"/>
        </w:rPr>
        <w:t xml:space="preserve">1.4.  0,1 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процента в отношении единых недвижимых комплексов, в состав  которых входит хотя бы один жилой дом;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</w:tabs>
        <w:spacing w:lineRule="auto" w:line="240"/>
        <w:ind w:left="567" w:hanging="0"/>
        <w:jc w:val="both"/>
        <w:rPr/>
      </w:pPr>
      <w:r>
        <w:rPr>
          <w:sz w:val="26"/>
          <w:szCs w:val="26"/>
        </w:rPr>
        <w:t>1.5. 0,1 процента в отношении гаражей и машино-мест, в том числе расположенных в объектах налогообложения, указанных в подпункте 2 пункта 2 статьи 406 НК РФ;</w:t>
      </w:r>
    </w:p>
    <w:p>
      <w:pPr>
        <w:pStyle w:val="Normal"/>
        <w:shd w:val="clear" w:color="auto" w:fill="FFFFFF"/>
        <w:tabs>
          <w:tab w:val="clear" w:pos="708"/>
          <w:tab w:val="left" w:pos="0" w:leader="underscore"/>
        </w:tabs>
        <w:spacing w:lineRule="auto" w:line="240"/>
        <w:ind w:left="29" w:firstLine="538"/>
        <w:jc w:val="both"/>
        <w:rPr/>
      </w:pPr>
      <w:r>
        <w:rPr>
          <w:sz w:val="26"/>
          <w:szCs w:val="26"/>
        </w:rPr>
        <w:t xml:space="preserve">1.6.  0,1 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>
      <w:pPr>
        <w:pStyle w:val="Normal"/>
        <w:shd w:val="clear" w:color="auto" w:fill="FFFFFF"/>
        <w:spacing w:lineRule="auto" w:line="240"/>
        <w:ind w:left="29" w:right="19" w:firstLine="538"/>
        <w:jc w:val="both"/>
        <w:rPr/>
      </w:pPr>
      <w:r>
        <w:rPr>
          <w:sz w:val="26"/>
          <w:szCs w:val="26"/>
        </w:rPr>
        <w:t>1.7.  В отношении объектов налогообложения, включенных в перечень, определяемый в соответствии с пунктом 7 статьи 378.2  Налогового кодекса Российской Федерации, в отношении объектов налогообложения, предусмотренных абзацем вторым пункта 10 статьи 378.2  Налогового кодекса Российской Федерации, а также в отношении объектов налогообложения, кадастровая стоимость каждого из которых:</w:t>
      </w:r>
    </w:p>
    <w:p>
      <w:pPr>
        <w:pStyle w:val="Normal"/>
        <w:shd w:val="clear" w:color="auto" w:fill="FFFFFF"/>
        <w:spacing w:lineRule="auto" w:line="240"/>
        <w:ind w:left="29" w:right="19" w:firstLine="538"/>
        <w:jc w:val="both"/>
        <w:rPr/>
      </w:pPr>
      <w:r>
        <w:rPr>
          <w:sz w:val="26"/>
          <w:szCs w:val="26"/>
        </w:rPr>
        <w:t>-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менее 20 миллионов рублей </w:t>
      </w:r>
      <w:r>
        <w:rPr>
          <w:sz w:val="26"/>
          <w:szCs w:val="26"/>
        </w:rPr>
        <w:t>- в размере 1,0 процента;</w:t>
      </w:r>
    </w:p>
    <w:p>
      <w:pPr>
        <w:pStyle w:val="Normal"/>
        <w:shd w:val="clear" w:color="auto" w:fill="FFFFFF"/>
        <w:spacing w:lineRule="auto" w:line="240"/>
        <w:ind w:left="29" w:right="19" w:firstLine="538"/>
        <w:jc w:val="both"/>
        <w:rPr/>
      </w:pPr>
      <w:r>
        <w:rPr>
          <w:sz w:val="26"/>
          <w:szCs w:val="26"/>
        </w:rPr>
        <w:t>-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от 20 миллионов рублей (включительно) до 50 миллионов рублей</w:t>
      </w:r>
      <w:r>
        <w:rPr>
          <w:sz w:val="26"/>
          <w:szCs w:val="26"/>
        </w:rPr>
        <w:t>-1,5 процента;</w:t>
      </w:r>
    </w:p>
    <w:p>
      <w:pPr>
        <w:pStyle w:val="Normal"/>
        <w:shd w:val="clear" w:color="auto" w:fill="FFFFFF"/>
        <w:spacing w:lineRule="auto" w:line="240"/>
        <w:ind w:left="29" w:right="19" w:firstLine="538"/>
        <w:jc w:val="both"/>
        <w:rPr/>
      </w:pPr>
      <w:r>
        <w:rPr>
          <w:sz w:val="26"/>
          <w:szCs w:val="26"/>
        </w:rPr>
        <w:t xml:space="preserve">-свыше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50 миллионов рублей (включительно) </w:t>
      </w:r>
      <w:r>
        <w:rPr>
          <w:sz w:val="26"/>
          <w:szCs w:val="26"/>
        </w:rPr>
        <w:t>-2,0 процента.</w:t>
      </w:r>
    </w:p>
    <w:p>
      <w:pPr>
        <w:pStyle w:val="Normal"/>
        <w:shd w:val="clear" w:color="auto" w:fill="FFFFFF"/>
        <w:spacing w:lineRule="auto" w:line="240"/>
        <w:ind w:left="29" w:right="19" w:firstLine="538"/>
        <w:jc w:val="both"/>
        <w:rPr/>
      </w:pPr>
      <w:r>
        <w:rPr>
          <w:sz w:val="26"/>
          <w:szCs w:val="26"/>
        </w:rPr>
        <w:t>В отношении объектов налогообложения, кадастровая стоимость каждого из которых превышает 300 миллионов рублей — 2,0 процента.</w:t>
      </w:r>
    </w:p>
    <w:p>
      <w:pPr>
        <w:pStyle w:val="Normal"/>
        <w:shd w:val="clear" w:color="auto" w:fill="FFFFFF"/>
        <w:spacing w:lineRule="auto" w:line="240"/>
        <w:ind w:left="29" w:right="19" w:firstLine="538"/>
        <w:jc w:val="both"/>
        <w:rPr/>
      </w:pPr>
      <w:r>
        <w:rPr>
          <w:sz w:val="26"/>
          <w:szCs w:val="26"/>
        </w:rPr>
        <w:t>1.8. 0,5 процента в отношении  прочих объектов налогообложения.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От уплаты налога на имущество физических лиц освободить граждан, проживающих на территории муниципального образования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Калининский сельсовет</w:t>
      </w:r>
      <w:r>
        <w:rPr>
          <w:sz w:val="26"/>
          <w:szCs w:val="26"/>
        </w:rPr>
        <w:t xml:space="preserve">,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Усть-Абаканский район,</w:t>
      </w:r>
      <w:r>
        <w:rPr>
          <w:sz w:val="26"/>
          <w:szCs w:val="26"/>
        </w:rPr>
        <w:t xml:space="preserve"> из числа военнослужащих, добровольцев, принимающих участие с 24 февраля 2022 года в специальной военной операции, проводимой на территориях Украины, Донецкой Народной Республики, Луганской Народной Республики, Запорожской и Херсонской областей,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после 21 сентября 2022 года, и члены их семей (супруга (супруг), несовершеннолетние дети, дети в возрасте до 23 лет, обучающиеся в образовательных организациях по очной форме обучения) – на один объект налогообложения по выбору налогоплательщика за налоговый период 202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2</w:t>
      </w:r>
      <w:r>
        <w:rPr>
          <w:sz w:val="26"/>
          <w:szCs w:val="26"/>
        </w:rPr>
        <w:t xml:space="preserve"> года.</w:t>
      </w:r>
    </w:p>
    <w:p>
      <w:pPr>
        <w:pStyle w:val="Normal"/>
        <w:widowControl w:val="false"/>
        <w:shd w:val="clear" w:color="auto" w:fill="FFFFFF"/>
        <w:spacing w:lineRule="auto" w:line="276"/>
        <w:ind w:left="0" w:right="0" w:hanging="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lang w:eastAsia="en-US"/>
        </w:rPr>
        <w:t xml:space="preserve">  </w:t>
      </w:r>
      <w:r>
        <w:rPr>
          <w:rFonts w:cs="Times New Roman"/>
          <w:b w:val="false"/>
          <w:bCs w:val="false"/>
          <w:sz w:val="26"/>
          <w:szCs w:val="26"/>
          <w:lang w:eastAsia="en-US"/>
        </w:rPr>
        <w:t xml:space="preserve">Предоставление льготы, установленным пунктом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2</w:t>
      </w:r>
      <w:r>
        <w:rPr>
          <w:rFonts w:cs="Times New Roman"/>
          <w:b w:val="false"/>
          <w:bCs w:val="false"/>
          <w:sz w:val="26"/>
          <w:szCs w:val="26"/>
          <w:lang w:eastAsia="en-US"/>
        </w:rPr>
        <w:t xml:space="preserve"> настоящего Решения, осуществляется в соответствии с перечнем лиц, предоставляемым в налоговый орган исполнительным органом государственной власти Республики Хакасия в сфере социальной защиты и социальной поддержки населения.</w:t>
      </w:r>
    </w:p>
    <w:p>
      <w:pPr>
        <w:pStyle w:val="Normal"/>
        <w:shd w:val="clear" w:color="auto" w:fill="FFFFFF"/>
        <w:spacing w:lineRule="auto" w:line="240"/>
        <w:ind w:left="29" w:right="19" w:firstLine="538"/>
        <w:jc w:val="both"/>
        <w:rPr/>
      </w:pPr>
      <w:r>
        <w:rPr>
          <w:rFonts w:eastAsia="Times New Roman" w:cs="Times New Roman"/>
          <w:color w:val="auto"/>
          <w:spacing w:val="-7"/>
          <w:kern w:val="0"/>
          <w:sz w:val="26"/>
          <w:szCs w:val="26"/>
          <w:lang w:val="ru-RU" w:eastAsia="ru-RU" w:bidi="ar-SA"/>
        </w:rPr>
        <w:t>3</w:t>
      </w:r>
      <w:r>
        <w:rPr>
          <w:spacing w:val="-7"/>
          <w:sz w:val="26"/>
          <w:szCs w:val="26"/>
        </w:rPr>
        <w:t>.</w:t>
      </w:r>
      <w:r>
        <w:rPr>
          <w:sz w:val="26"/>
          <w:szCs w:val="26"/>
        </w:rPr>
        <w:t xml:space="preserve"> Направить настоящее решение для опубликования в газете «Усть-Абаканские известия».</w:t>
      </w:r>
    </w:p>
    <w:p>
      <w:pPr>
        <w:pStyle w:val="Normal"/>
        <w:shd w:val="clear" w:color="auto" w:fill="FFFFFF"/>
        <w:tabs>
          <w:tab w:val="clear" w:pos="708"/>
          <w:tab w:val="left" w:pos="1046" w:leader="none"/>
        </w:tabs>
        <w:spacing w:lineRule="auto" w:line="240"/>
        <w:ind w:left="29" w:right="19" w:firstLine="538"/>
        <w:jc w:val="both"/>
        <w:rPr/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4</w:t>
      </w:r>
      <w:r>
        <w:rPr>
          <w:sz w:val="26"/>
          <w:szCs w:val="26"/>
        </w:rPr>
        <w:t>. Настоящее решение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вступает в силу по истечении одного месяца со дня его официального опубликования, но не ранее 1 января 202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4</w:t>
      </w:r>
      <w:r>
        <w:rPr>
          <w:sz w:val="26"/>
          <w:szCs w:val="26"/>
        </w:rPr>
        <w:t xml:space="preserve"> года.</w:t>
      </w:r>
    </w:p>
    <w:p>
      <w:pPr>
        <w:pStyle w:val="Normal"/>
        <w:shd w:val="clear" w:color="auto" w:fill="FFFFFF"/>
        <w:tabs>
          <w:tab w:val="clear" w:pos="708"/>
          <w:tab w:val="left" w:pos="1046" w:leader="none"/>
        </w:tabs>
        <w:spacing w:lineRule="auto" w:line="240"/>
        <w:ind w:left="29" w:right="19" w:firstLine="70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1046" w:leader="none"/>
        </w:tabs>
        <w:spacing w:lineRule="auto" w:line="240" w:before="0" w:after="200"/>
        <w:ind w:right="19" w:hanging="0"/>
        <w:jc w:val="both"/>
        <w:rPr/>
      </w:pPr>
      <w:r>
        <w:rPr>
          <w:sz w:val="26"/>
          <w:szCs w:val="26"/>
        </w:rPr>
        <w:t>Глава Калининского сельсовета                                                                  И.А. Сажин</w:t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4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semiHidden="0" w:unhideWhenUsed="0" w:qFormat="1"/>
    <w:lsdException w:name="heading 4" w:uiPriority="0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Normal Table" w:qFormat="1"/>
    <w:lsdException w:name="Balloon Text" w:qFormat="1"/>
    <w:lsdException w:name="Table Grid" w:uiPriority="59" w:semiHidden="0" w:unhideWhenUsed="0"/>
    <w:lsdException w:name="List Paragraph" w:uiPriority="34" w:semiHidden="0" w:unhideWhenUsed="0" w:qFormat="1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130e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Normal"/>
    <w:next w:val="Normal"/>
    <w:link w:val="30"/>
    <w:qFormat/>
    <w:rsid w:val="00e1130e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Normal"/>
    <w:next w:val="Normal"/>
    <w:link w:val="40"/>
    <w:qFormat/>
    <w:rsid w:val="00e1130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e1130e"/>
    <w:rPr>
      <w:rFonts w:ascii="Arial" w:hAnsi="Arial" w:cs="Arial"/>
      <w:b/>
      <w:bCs/>
      <w:sz w:val="28"/>
      <w:szCs w:val="26"/>
    </w:rPr>
  </w:style>
  <w:style w:type="character" w:styleId="41" w:customStyle="1">
    <w:name w:val="Заголовок 4 Знак"/>
    <w:basedOn w:val="DefaultParagraphFont"/>
    <w:link w:val="4"/>
    <w:qFormat/>
    <w:rsid w:val="00e1130e"/>
    <w:rPr>
      <w:rFonts w:ascii="Arial" w:hAnsi="Arial"/>
      <w:b/>
      <w:bCs/>
      <w:sz w:val="26"/>
      <w:szCs w:val="28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e1130e"/>
    <w:rPr>
      <w:rFonts w:ascii="Tahoma" w:hAnsi="Tahoma" w:cs="Tahoma"/>
      <w:sz w:val="16"/>
      <w:szCs w:val="1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1130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30e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e1130e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1" w:customStyle="1">
    <w:name w:val="Знак1"/>
    <w:basedOn w:val="Normal"/>
    <w:semiHidden/>
    <w:qFormat/>
    <w:rsid w:val="00e1130e"/>
    <w:pPr>
      <w:numPr>
        <w:ilvl w:val="0"/>
        <w:numId w:val="1"/>
      </w:numPr>
      <w:spacing w:lineRule="exact" w:line="240" w:before="120" w:after="1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0405572-7AE3-4F19-83DB-D41EF0D713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Application>LibreOffice/7.2.1.2$Windows_X86_64 LibreOffice_project/87b77fad49947c1441b67c559c339af8f3517e22</Application>
  <AppVersion>15.0000</AppVersion>
  <Pages>2</Pages>
  <Words>512</Words>
  <Characters>3460</Characters>
  <CharactersWithSpaces>4255</CharactersWithSpaces>
  <Paragraphs>26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2023-11-21T10:59:33Z</cp:lastPrinted>
  <dcterms:modified xsi:type="dcterms:W3CDTF">2023-11-23T08:16:17Z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