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exact" w:line="230" w:before="206" w:after="0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</w:r>
          </w:p>
          <w:tbl>
            <w:tblPr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420"/>
                      <w:tab w:val="left" w:pos="3210" w:leader="none"/>
                    </w:tabs>
                    <w:spacing w:lineRule="auto" w:line="276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Р Е Ш Е Н И 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firstLine="2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28.04.2022                                   с. Калинино                                   №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16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 внесении изменений в решение Совета депутатов Калининского сельсовета Усть-Абаканского района Республики Хакасия от 15.11.2021г. № 38 «</w:t>
            </w:r>
            <w:r>
              <w:rPr>
                <w:b/>
                <w:i/>
                <w:sz w:val="26"/>
                <w:szCs w:val="26"/>
                <w:lang w:eastAsia="en-US"/>
              </w:rPr>
              <w:t>Об установлении на территории муниципального образования Калининский сельсовет налога на имущество физических лиц на 2022 год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</w:rPr>
              <w:t xml:space="preserve">ассмотрев протест прокурора Усть – Абаканского района, руководствуясь  Уставом  муниципального образования Калининский сельсовет, Совет депутатов Калининского сельсовета </w:t>
            </w:r>
            <w:r>
              <w:rPr>
                <w:b/>
                <w:sz w:val="26"/>
                <w:szCs w:val="26"/>
              </w:rPr>
              <w:t xml:space="preserve">       </w:t>
            </w:r>
          </w:p>
          <w:p>
            <w:pPr>
              <w:pStyle w:val="Normal"/>
              <w:widowControl w:val="false"/>
              <w:spacing w:lineRule="auto" w:line="276"/>
              <w:ind w:firstLine="7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firstLine="562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Normal"/>
              <w:widowControl w:val="false"/>
              <w:spacing w:lineRule="auto" w:line="276"/>
              <w:ind w:firstLine="562"/>
              <w:jc w:val="both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1. 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Внести изменения в 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>р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>ешени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>е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 Совета  депутатов Калининского сельсовета от 15.11.2021г. №38 «Об установлении на территории муниципального образования Калининский сельсовет налога на имущество физических лиц на 2022 год» 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>следующие изменения: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 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- наименование решения 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«Об установлении на территории муниципального образования Калининский сельсовет налога на имущество физических лиц на 2022 год», заменить  на «Об 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>введении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 на территории муниципального образования Калининский сельсовет налога на имущество физических лиц на 2022 год»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 в пункте 1 слово «Установить» заменить на «Ввести».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shd w:fill="auto" w:val="clear"/>
                <w:lang w:eastAsia="en-US"/>
              </w:rPr>
              <w:t>Настоящее решение вступает в силу после его официального опубликования (обнародования).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420"/>
                <w:tab w:val="left" w:pos="567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ind w:left="0" w:firstLine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Сажин И.А.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069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92077c"/>
    <w:rPr>
      <w:rFonts w:ascii="Tahoma" w:hAnsi="Tahoma" w:eastAsia="Times New Roman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qFormat/>
    <w:rsid w:val="00ad4a62"/>
    <w:rPr>
      <w:rFonts w:ascii="Times New Roman" w:hAnsi="Times New Roman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8"/>
    <w:qFormat/>
    <w:rsid w:val="00ad4a62"/>
    <w:rPr>
      <w:rFonts w:ascii="Times New Roman" w:hAnsi="Times New Roman" w:eastAsia="Times New Roman" w:cs="Times New Roman"/>
    </w:rPr>
  </w:style>
  <w:style w:type="character" w:styleId="Blk">
    <w:name w:val="blk"/>
    <w:qFormat/>
    <w:rPr/>
  </w:style>
  <w:style w:type="character" w:styleId="Strong">
    <w:name w:val="Strong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06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qFormat/>
    <w:rsid w:val="0092077c"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LibreOffice/7.2.1.2$Windows_X86_64 LibreOffice_project/87b77fad49947c1441b67c559c339af8f3517e22</Application>
  <AppVersion>15.0000</AppVersion>
  <Pages>2</Pages>
  <Words>159</Words>
  <Characters>1079</Characters>
  <CharactersWithSpaces>1440</CharactersWithSpaces>
  <Paragraphs>15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/>
  <dc:language>ru-RU</dc:language>
  <cp:lastModifiedBy/>
  <cp:lastPrinted>2022-04-29T09:01:59Z</cp:lastPrinted>
  <dcterms:modified xsi:type="dcterms:W3CDTF">2022-04-29T09:02:04Z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